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ascii="黑体" w:hAnsi="黑体" w:eastAsia="黑体"/>
          <w:b/>
          <w:sz w:val="30"/>
          <w:szCs w:val="30"/>
        </w:rPr>
      </w:pPr>
      <w:r>
        <w:rPr>
          <w:rFonts w:ascii="黑体" w:hAnsi="黑体" w:eastAsia="黑体"/>
          <w:b/>
          <w:sz w:val="30"/>
          <w:szCs w:val="30"/>
        </w:rPr>
        <w:t>国务院关于优化科研管理提升科研绩效若干措施的通知</w:t>
      </w:r>
    </w:p>
    <w:p>
      <w:pPr>
        <w:pStyle w:val="4"/>
        <w:spacing w:before="0" w:beforeAutospacing="0" w:after="0" w:afterAutospacing="0"/>
        <w:jc w:val="center"/>
        <w:rPr>
          <w:rFonts w:ascii="仿宋" w:hAnsi="仿宋" w:eastAsia="仿宋"/>
          <w:sz w:val="28"/>
          <w:szCs w:val="28"/>
        </w:rPr>
      </w:pPr>
      <w:r>
        <w:rPr>
          <w:rFonts w:ascii="仿宋" w:hAnsi="仿宋" w:eastAsia="仿宋"/>
          <w:sz w:val="28"/>
          <w:szCs w:val="28"/>
        </w:rPr>
        <w:t>国发〔2018〕25号</w:t>
      </w:r>
    </w:p>
    <w:p>
      <w:pPr>
        <w:pStyle w:val="4"/>
        <w:spacing w:before="0" w:beforeAutospacing="0" w:after="0" w:afterAutospacing="0"/>
        <w:rPr>
          <w:rFonts w:ascii="仿宋" w:hAnsi="仿宋" w:eastAsia="仿宋"/>
          <w:sz w:val="28"/>
          <w:szCs w:val="28"/>
        </w:rPr>
      </w:pPr>
      <w:r>
        <w:rPr>
          <w:rFonts w:ascii="仿宋" w:hAnsi="仿宋" w:eastAsia="仿宋"/>
          <w:sz w:val="28"/>
          <w:szCs w:val="28"/>
        </w:rPr>
        <w:t>各省、自治区、直辖市人民政府，国务院各部委、各直属机构：</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w:t>
      </w:r>
      <w:r>
        <w:rPr>
          <w:rFonts w:hint="eastAsia" w:ascii="仿宋" w:hAnsi="仿宋" w:eastAsia="仿宋"/>
          <w:sz w:val="28"/>
          <w:szCs w:val="28"/>
        </w:rPr>
        <w:t>下：</w:t>
      </w:r>
    </w:p>
    <w:p>
      <w:pPr>
        <w:pStyle w:val="4"/>
        <w:spacing w:before="0" w:beforeAutospacing="0" w:after="0" w:afterAutospacing="0"/>
        <w:rPr>
          <w:rFonts w:ascii="仿宋" w:hAnsi="仿宋" w:eastAsia="仿宋"/>
          <w:sz w:val="28"/>
          <w:szCs w:val="28"/>
        </w:rPr>
      </w:pPr>
      <w:r>
        <w:rPr>
          <w:rStyle w:val="7"/>
          <w:rFonts w:hint="eastAsia" w:ascii="仿宋" w:hAnsi="仿宋" w:eastAsia="仿宋"/>
          <w:sz w:val="28"/>
          <w:szCs w:val="28"/>
        </w:rPr>
        <w:t xml:space="preserve">     </w:t>
      </w:r>
      <w:r>
        <w:rPr>
          <w:rStyle w:val="7"/>
          <w:rFonts w:ascii="仿宋" w:hAnsi="仿宋" w:eastAsia="仿宋"/>
          <w:sz w:val="28"/>
          <w:szCs w:val="28"/>
        </w:rPr>
        <w:t>一、优化科研项目和经费管理</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一）简化科研项目申报和过程管理。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pPr>
        <w:pStyle w:val="4"/>
        <w:spacing w:before="0" w:beforeAutospacing="0" w:after="0" w:afterAutospacing="0"/>
        <w:rPr>
          <w:rFonts w:ascii="仿宋" w:hAnsi="仿宋" w:eastAsia="仿宋"/>
          <w:sz w:val="28"/>
          <w:szCs w:val="28"/>
        </w:rPr>
      </w:pP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二）合并财务验收和技术验收。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三）推行“材料一次报送”制度。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四）赋予科研人员更大技术路线决策权。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（五）赋予科研单位科研项目经费管理使用自主权。</w:t>
      </w:r>
      <w:r>
        <w:rPr>
          <w:rFonts w:ascii="仿宋" w:hAnsi="仿宋" w:eastAsia="仿宋"/>
          <w:color w:val="FF0000"/>
          <w:sz w:val="28"/>
          <w:szCs w:val="28"/>
        </w:rPr>
        <w:t>直接费用中除设备费外，其他科目费用调剂权全部下放给项目承担单位</w:t>
      </w:r>
      <w:r>
        <w:rPr>
          <w:rFonts w:ascii="仿宋" w:hAnsi="仿宋" w:eastAsia="仿宋"/>
          <w:sz w:val="28"/>
          <w:szCs w:val="28"/>
        </w:rPr>
        <w:t>。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于独家代理或生产的仪器设备，按程序确定采取单一来源采购等方式增强采购灵活性和便利性。</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六）避免重复多头检查。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pPr>
        <w:pStyle w:val="4"/>
        <w:spacing w:before="0" w:beforeAutospacing="0" w:after="0" w:afterAutospacing="0"/>
        <w:rPr>
          <w:rFonts w:ascii="仿宋" w:hAnsi="仿宋" w:eastAsia="仿宋"/>
          <w:sz w:val="28"/>
          <w:szCs w:val="28"/>
        </w:rPr>
      </w:pPr>
      <w:r>
        <w:rPr>
          <w:rStyle w:val="7"/>
          <w:rFonts w:hint="eastAsia" w:ascii="仿宋" w:hAnsi="仿宋" w:eastAsia="仿宋"/>
          <w:sz w:val="28"/>
          <w:szCs w:val="28"/>
        </w:rPr>
        <w:t xml:space="preserve">    </w:t>
      </w:r>
      <w:r>
        <w:rPr>
          <w:rStyle w:val="7"/>
          <w:rFonts w:ascii="仿宋" w:hAnsi="仿宋" w:eastAsia="仿宋"/>
          <w:sz w:val="28"/>
          <w:szCs w:val="28"/>
        </w:rPr>
        <w:t>二、完善有利于创新的评价激励制度</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七）切实精简人才“帽子”。在中央人才工作协调小组的领导下，对科技领域人才计划进行优化整合。西部地区因政策倾斜获得人才计划支持的科研人员，在支持周期内离开相关岗位的，取消对其相应支持。开展科技人才计划申报查重工作，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八）开展“唯论文、唯职称、唯学历”问题集中清理。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期限免评的制度。</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九）加大对承担国家关键领域核心技术攻关任务科研人员的薪酬激励。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pPr>
        <w:pStyle w:val="4"/>
        <w:spacing w:before="0" w:beforeAutospacing="0" w:after="0" w:afterAutospacing="0"/>
        <w:rPr>
          <w:rFonts w:ascii="仿宋" w:hAnsi="仿宋" w:eastAsia="仿宋"/>
          <w:sz w:val="28"/>
          <w:szCs w:val="28"/>
        </w:rPr>
      </w:pPr>
      <w:r>
        <w:rPr>
          <w:rStyle w:val="7"/>
          <w:rFonts w:hint="eastAsia" w:ascii="仿宋" w:hAnsi="仿宋" w:eastAsia="仿宋"/>
          <w:sz w:val="28"/>
          <w:szCs w:val="28"/>
        </w:rPr>
        <w:t xml:space="preserve">    </w:t>
      </w:r>
      <w:r>
        <w:rPr>
          <w:rStyle w:val="7"/>
          <w:rFonts w:ascii="仿宋" w:hAnsi="仿宋" w:eastAsia="仿宋"/>
          <w:sz w:val="28"/>
          <w:szCs w:val="28"/>
        </w:rPr>
        <w:t>三、强化科研项目绩效评价</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十）推动项目管理从重数量、重过程向重质量、重结果转变。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十一）实行科研项目绩效分类评价。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十二）严格依据任务书开展综合绩效评价。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价，对提交评价的论文、专利等作出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十三）加强绩效评价结果的应用。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pPr>
        <w:pStyle w:val="4"/>
        <w:spacing w:before="0" w:beforeAutospacing="0" w:after="0" w:afterAutospacing="0"/>
        <w:rPr>
          <w:rFonts w:ascii="仿宋" w:hAnsi="仿宋" w:eastAsia="仿宋"/>
          <w:sz w:val="28"/>
          <w:szCs w:val="28"/>
        </w:rPr>
      </w:pPr>
      <w:r>
        <w:rPr>
          <w:rStyle w:val="7"/>
          <w:rFonts w:hint="eastAsia" w:ascii="仿宋" w:hAnsi="仿宋" w:eastAsia="仿宋"/>
          <w:sz w:val="28"/>
          <w:szCs w:val="28"/>
        </w:rPr>
        <w:t xml:space="preserve">    </w:t>
      </w:r>
      <w:r>
        <w:rPr>
          <w:rStyle w:val="7"/>
          <w:rFonts w:ascii="仿宋" w:hAnsi="仿宋" w:eastAsia="仿宋"/>
          <w:sz w:val="28"/>
          <w:szCs w:val="28"/>
        </w:rPr>
        <w:t>四、完善分级责任担当机制</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十四）建立相关部门为高校和科研院所分担责任机制。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十五）强化高校、科研院所和科研人员的主体责任。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十六）完善鼓励法人担当负责的考核激励机制。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pPr>
        <w:pStyle w:val="4"/>
        <w:spacing w:before="0" w:beforeAutospacing="0" w:after="0" w:afterAutospacing="0"/>
        <w:rPr>
          <w:rFonts w:ascii="仿宋" w:hAnsi="仿宋" w:eastAsia="仿宋"/>
          <w:sz w:val="28"/>
          <w:szCs w:val="28"/>
        </w:rPr>
      </w:pPr>
      <w:r>
        <w:rPr>
          <w:rStyle w:val="7"/>
          <w:rFonts w:hint="eastAsia" w:ascii="仿宋" w:hAnsi="仿宋" w:eastAsia="仿宋"/>
          <w:sz w:val="28"/>
          <w:szCs w:val="28"/>
        </w:rPr>
        <w:t xml:space="preserve">    </w:t>
      </w:r>
      <w:r>
        <w:rPr>
          <w:rStyle w:val="7"/>
          <w:rFonts w:ascii="仿宋" w:hAnsi="仿宋" w:eastAsia="仿宋"/>
          <w:sz w:val="28"/>
          <w:szCs w:val="28"/>
        </w:rPr>
        <w:t>五、开展基于绩效、诚信和能力的科研管理改革试点</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科技部、财政部会同教育部、中科院在教育部直属高校和中科院所属科研院所中选择部分创新能力和潜力突出、创新绩效显著、科研诚信状况良好的单位开展支持力度更大的“绿色通道”改革试点。</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十七）开展简化科研项目经费预算编制试点。项目直接费用中除设备费外，其他费用只提供基本测算说明，不提供明细。进一步精简合并其他直接费用科目。各项目管理专业机构要简化相关科研项目预算编制要求，精简说明和报表。</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十八）开展扩大科研经费使用自主权试点。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w:t>
      </w:r>
      <w:r>
        <w:rPr>
          <w:rFonts w:ascii="仿宋" w:hAnsi="仿宋" w:eastAsia="仿宋"/>
          <w:color w:val="FF0000"/>
          <w:sz w:val="28"/>
          <w:szCs w:val="28"/>
        </w:rPr>
        <w:t>对试验设备依赖程度低和实验材料耗费少的基础研究、软件开发、集成电路设计等智力密集型项目，提高间接经费比例，500万元以下的部分为不超过30%，500万元至1000万元的部分为不超过25%，1000万元以上的部分为不超过20%。对数</w:t>
      </w:r>
      <w:bookmarkStart w:id="0" w:name="_GoBack"/>
      <w:bookmarkEnd w:id="0"/>
      <w:r>
        <w:rPr>
          <w:rFonts w:ascii="仿宋" w:hAnsi="仿宋" w:eastAsia="仿宋"/>
          <w:color w:val="FF0000"/>
          <w:sz w:val="28"/>
          <w:szCs w:val="28"/>
        </w:rPr>
        <w:t>学等纯理论基础研究项目，可进一步根据实际情况适当调整间接经费比例。间接经费的使用应向创新绩效突出的团队和个人倾斜</w:t>
      </w:r>
      <w:r>
        <w:rPr>
          <w:rFonts w:ascii="仿宋" w:hAnsi="仿宋" w:eastAsia="仿宋"/>
          <w:sz w:val="28"/>
          <w:szCs w:val="28"/>
        </w:rPr>
        <w:t>。</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十九）开展科研机构分类支持试点。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二十）开展赋予科研人员职务科技成果所有权或长期使用权试点。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pPr>
        <w:pStyle w:val="4"/>
        <w:spacing w:before="0" w:beforeAutospacing="0" w:after="0" w:afterAutospacing="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pPr>
        <w:pStyle w:val="4"/>
        <w:spacing w:before="0" w:beforeAutospacing="0" w:after="0" w:afterAutospacing="0"/>
        <w:ind w:right="1400"/>
        <w:jc w:val="right"/>
        <w:rPr>
          <w:rFonts w:ascii="仿宋" w:hAnsi="仿宋" w:eastAsia="仿宋"/>
          <w:sz w:val="28"/>
          <w:szCs w:val="28"/>
        </w:rPr>
      </w:pPr>
      <w:r>
        <w:rPr>
          <w:rFonts w:ascii="仿宋" w:hAnsi="仿宋" w:eastAsia="仿宋"/>
          <w:sz w:val="28"/>
          <w:szCs w:val="28"/>
        </w:rPr>
        <w:t>国务院</w:t>
      </w:r>
    </w:p>
    <w:p>
      <w:pPr>
        <w:pStyle w:val="4"/>
        <w:spacing w:before="0" w:beforeAutospacing="0" w:after="0" w:afterAutospacing="0"/>
        <w:ind w:right="840"/>
        <w:jc w:val="righ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2018年7月18日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FC"/>
    <w:rsid w:val="00070809"/>
    <w:rsid w:val="00260AE7"/>
    <w:rsid w:val="00342443"/>
    <w:rsid w:val="005119FB"/>
    <w:rsid w:val="00593742"/>
    <w:rsid w:val="009E0450"/>
    <w:rsid w:val="00AF6E9F"/>
    <w:rsid w:val="00B31A30"/>
    <w:rsid w:val="00B37BFC"/>
    <w:rsid w:val="00C46D53"/>
    <w:rsid w:val="00C93F6A"/>
    <w:rsid w:val="00CF2C8F"/>
    <w:rsid w:val="00DF5443"/>
    <w:rsid w:val="00F538E3"/>
    <w:rsid w:val="00FB42F2"/>
    <w:rsid w:val="00FD5C26"/>
    <w:rsid w:val="2F5B4E2A"/>
    <w:rsid w:val="30FE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804</Words>
  <Characters>4586</Characters>
  <Lines>38</Lines>
  <Paragraphs>10</Paragraphs>
  <TotalTime>421</TotalTime>
  <ScaleCrop>false</ScaleCrop>
  <LinksUpToDate>false</LinksUpToDate>
  <CharactersWithSpaces>5380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2018-07-25T00:14:00Z</dcterms:created>
  <dc:creator>l</dc:creator>
  <cp:lastModifiedBy>肖铮</cp:lastModifiedBy>
  <dcterms:modified xsi:type="dcterms:W3CDTF">2020-04-06T03:16:25Z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